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93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НАУКИ</w:t>
      </w:r>
      <w:r w:rsidR="007C5293">
        <w:rPr>
          <w:sz w:val="28"/>
          <w:szCs w:val="28"/>
        </w:rPr>
        <w:t xml:space="preserve"> И ВЫСШЕГО ОБРАЗОВАНИЯ</w:t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A6348E">
        <w:rPr>
          <w:sz w:val="28"/>
          <w:szCs w:val="28"/>
        </w:rPr>
        <w:t>»</w:t>
      </w:r>
    </w:p>
    <w:p w:rsidR="00F62A9F" w:rsidRPr="00F62A9F" w:rsidRDefault="00F62A9F" w:rsidP="00F62A9F">
      <w:pPr>
        <w:jc w:val="center"/>
        <w:rPr>
          <w:color w:val="000000"/>
          <w:sz w:val="28"/>
          <w:szCs w:val="28"/>
        </w:rPr>
      </w:pPr>
      <w:r w:rsidRPr="00F62A9F">
        <w:rPr>
          <w:color w:val="000000"/>
          <w:sz w:val="28"/>
          <w:szCs w:val="28"/>
        </w:rPr>
        <w:t xml:space="preserve">для </w:t>
      </w:r>
      <w:proofErr w:type="gramStart"/>
      <w:r w:rsidRPr="00F62A9F">
        <w:rPr>
          <w:color w:val="000000"/>
          <w:sz w:val="28"/>
          <w:szCs w:val="28"/>
        </w:rPr>
        <w:t>обучающихся</w:t>
      </w:r>
      <w:proofErr w:type="gramEnd"/>
      <w:r w:rsidRPr="00F62A9F">
        <w:rPr>
          <w:color w:val="000000"/>
          <w:sz w:val="28"/>
          <w:szCs w:val="28"/>
        </w:rPr>
        <w:t xml:space="preserve"> по направлению подготовки </w:t>
      </w:r>
    </w:p>
    <w:p w:rsidR="00F62A9F" w:rsidRPr="00F62A9F" w:rsidRDefault="00F62A9F" w:rsidP="00F62A9F">
      <w:pPr>
        <w:jc w:val="center"/>
        <w:rPr>
          <w:i/>
          <w:sz w:val="28"/>
          <w:szCs w:val="28"/>
        </w:rPr>
      </w:pPr>
      <w:r w:rsidRPr="00F62A9F">
        <w:rPr>
          <w:i/>
          <w:sz w:val="28"/>
          <w:szCs w:val="28"/>
        </w:rPr>
        <w:t>43.03.02 Туризм</w:t>
      </w:r>
    </w:p>
    <w:p w:rsidR="00F62A9F" w:rsidRPr="00F62A9F" w:rsidRDefault="00F62A9F" w:rsidP="00F62A9F">
      <w:pPr>
        <w:jc w:val="center"/>
        <w:rPr>
          <w:sz w:val="28"/>
          <w:szCs w:val="28"/>
        </w:rPr>
      </w:pPr>
      <w:r w:rsidRPr="00F62A9F">
        <w:rPr>
          <w:sz w:val="28"/>
          <w:szCs w:val="28"/>
        </w:rPr>
        <w:t xml:space="preserve">программа </w:t>
      </w:r>
      <w:proofErr w:type="spellStart"/>
      <w:r w:rsidRPr="00F62A9F">
        <w:rPr>
          <w:sz w:val="28"/>
          <w:szCs w:val="28"/>
        </w:rPr>
        <w:t>бакалавриата</w:t>
      </w:r>
      <w:proofErr w:type="spellEnd"/>
      <w:r w:rsidRPr="00F62A9F">
        <w:rPr>
          <w:sz w:val="28"/>
          <w:szCs w:val="28"/>
        </w:rPr>
        <w:t xml:space="preserve"> «Туризм»</w:t>
      </w:r>
    </w:p>
    <w:p w:rsidR="00F62A9F" w:rsidRPr="00F62A9F" w:rsidRDefault="005B47D5" w:rsidP="00F62A9F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F62A9F" w:rsidRPr="009A15E5">
        <w:rPr>
          <w:sz w:val="28"/>
          <w:szCs w:val="28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B47D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601565" w:rsidRPr="00055AD7" w:rsidRDefault="008A6864" w:rsidP="0060156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1565" w:rsidRPr="00055AD7">
        <w:rPr>
          <w:b/>
          <w:sz w:val="28"/>
          <w:szCs w:val="28"/>
        </w:rPr>
        <w:lastRenderedPageBreak/>
        <w:t>Лист согласования</w:t>
      </w:r>
    </w:p>
    <w:p w:rsidR="00601565" w:rsidRPr="00055AD7" w:rsidRDefault="00601565" w:rsidP="00601565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01565" w:rsidRPr="00A6348E" w:rsidRDefault="00601565" w:rsidP="00601565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601565" w:rsidRPr="00A6348E" w:rsidRDefault="00601565" w:rsidP="00601565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Организация и технологии прогнозирования в сфере услуг</w:t>
      </w:r>
    </w:p>
    <w:p w:rsidR="00601565" w:rsidRPr="00732A87" w:rsidRDefault="00601565" w:rsidP="00601565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601565" w:rsidRPr="00A6348E" w:rsidRDefault="00601565" w:rsidP="00601565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601565" w:rsidRPr="00961E8D" w:rsidRDefault="00601565" w:rsidP="00601565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62A9F" w:rsidRPr="00F62A9F">
        <w:rPr>
          <w:sz w:val="28"/>
          <w:szCs w:val="28"/>
          <w:u w:val="single"/>
        </w:rPr>
        <w:t>43.03.02 Туризм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601565" w:rsidRPr="00732A87" w:rsidRDefault="00601565" w:rsidP="00601565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601565" w:rsidRDefault="00601565" w:rsidP="00601565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645B" w:rsidRPr="00961E8D" w:rsidRDefault="00FA645B" w:rsidP="00FA645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____ 2020</w:t>
      </w:r>
      <w:r w:rsidRPr="00961E8D">
        <w:rPr>
          <w:sz w:val="28"/>
          <w:szCs w:val="28"/>
        </w:rPr>
        <w:t xml:space="preserve"> г</w:t>
      </w:r>
    </w:p>
    <w:p w:rsidR="00FA645B" w:rsidRDefault="00FA645B" w:rsidP="00FA645B">
      <w:pPr>
        <w:rPr>
          <w:sz w:val="28"/>
          <w:szCs w:val="28"/>
        </w:rPr>
      </w:pPr>
    </w:p>
    <w:p w:rsidR="00FA645B" w:rsidRPr="00961E8D" w:rsidRDefault="00FA645B" w:rsidP="00FA645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A645B" w:rsidRPr="00961E8D" w:rsidRDefault="00FA645B" w:rsidP="00FA645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Д.В. </w:t>
      </w:r>
      <w:proofErr w:type="spellStart"/>
      <w:r>
        <w:rPr>
          <w:sz w:val="28"/>
          <w:szCs w:val="28"/>
        </w:rPr>
        <w:t>Валентейчик</w:t>
      </w:r>
      <w:proofErr w:type="spellEnd"/>
    </w:p>
    <w:p w:rsidR="00FA645B" w:rsidRPr="00961E8D" w:rsidRDefault="00FA645B" w:rsidP="00FA64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645B" w:rsidRPr="00961E8D" w:rsidRDefault="00FA645B" w:rsidP="00FA645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Pr="00961E8D">
        <w:rPr>
          <w:sz w:val="28"/>
          <w:szCs w:val="28"/>
        </w:rPr>
        <w:t xml:space="preserve"> г.</w:t>
      </w:r>
    </w:p>
    <w:p w:rsidR="00FA645B" w:rsidRDefault="00FA645B" w:rsidP="00FA645B">
      <w:pPr>
        <w:rPr>
          <w:sz w:val="28"/>
          <w:szCs w:val="28"/>
        </w:rPr>
      </w:pPr>
    </w:p>
    <w:p w:rsidR="00FA645B" w:rsidRPr="00961E8D" w:rsidRDefault="00FA645B" w:rsidP="00FA645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FA645B" w:rsidRPr="00961E8D" w:rsidRDefault="00FA645B" w:rsidP="00FA64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645B" w:rsidRPr="00961E8D" w:rsidRDefault="00FA645B" w:rsidP="00FA645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FA645B" w:rsidRPr="00961E8D" w:rsidRDefault="00FA645B" w:rsidP="00FA645B">
      <w:pPr>
        <w:jc w:val="both"/>
        <w:rPr>
          <w:sz w:val="28"/>
          <w:szCs w:val="28"/>
        </w:rPr>
      </w:pPr>
    </w:p>
    <w:p w:rsidR="00FA645B" w:rsidRPr="00961E8D" w:rsidRDefault="00FA645B" w:rsidP="00FA645B">
      <w:pPr>
        <w:jc w:val="both"/>
        <w:rPr>
          <w:sz w:val="28"/>
          <w:szCs w:val="28"/>
        </w:rPr>
      </w:pPr>
    </w:p>
    <w:p w:rsidR="00FA645B" w:rsidRPr="00961E8D" w:rsidRDefault="00FA645B" w:rsidP="00FA645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FA645B" w:rsidRPr="00961E8D" w:rsidRDefault="00FA645B" w:rsidP="00FA645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645B" w:rsidRPr="00961E8D" w:rsidRDefault="00FA645B" w:rsidP="00FA645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Pr="00961E8D">
        <w:rPr>
          <w:sz w:val="28"/>
          <w:szCs w:val="28"/>
        </w:rPr>
        <w:t xml:space="preserve"> г.</w:t>
      </w:r>
    </w:p>
    <w:p w:rsidR="00FA645B" w:rsidRDefault="00FA645B" w:rsidP="00FA645B">
      <w:pPr>
        <w:rPr>
          <w:sz w:val="28"/>
          <w:szCs w:val="28"/>
        </w:rPr>
      </w:pPr>
    </w:p>
    <w:p w:rsidR="00FA645B" w:rsidRDefault="00FA645B" w:rsidP="00FA645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A645B" w:rsidRPr="00325ADC" w:rsidRDefault="00FA645B" w:rsidP="00FA645B">
      <w:pPr>
        <w:rPr>
          <w:b/>
          <w:sz w:val="28"/>
          <w:szCs w:val="28"/>
        </w:rPr>
      </w:pPr>
    </w:p>
    <w:p w:rsidR="00FA645B" w:rsidRPr="00FC2887" w:rsidRDefault="00FA645B" w:rsidP="00FA645B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 xml:space="preserve">Директор ООО «Катальпа» </w:t>
      </w:r>
      <w:r>
        <w:rPr>
          <w:color w:val="000000"/>
          <w:sz w:val="28"/>
          <w:szCs w:val="28"/>
        </w:rPr>
        <w:t xml:space="preserve">                    </w:t>
      </w:r>
      <w:r w:rsidRPr="00FC2887">
        <w:rPr>
          <w:sz w:val="28"/>
          <w:szCs w:val="28"/>
        </w:rPr>
        <w:t xml:space="preserve">__________________ </w:t>
      </w:r>
      <w:r w:rsidRPr="00F00F19">
        <w:rPr>
          <w:color w:val="000000"/>
          <w:sz w:val="28"/>
          <w:szCs w:val="28"/>
        </w:rPr>
        <w:t>О.А. Катеринич</w:t>
      </w:r>
      <w:r>
        <w:rPr>
          <w:sz w:val="28"/>
          <w:szCs w:val="28"/>
        </w:rPr>
        <w:t xml:space="preserve"> </w:t>
      </w:r>
    </w:p>
    <w:p w:rsidR="00FA645B" w:rsidRPr="00325ADC" w:rsidRDefault="00FA645B" w:rsidP="00FA645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FA645B" w:rsidRDefault="00FA645B" w:rsidP="00FA645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Pr="00F00F1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FA645B" w:rsidRDefault="00FA645B" w:rsidP="00FA645B">
      <w:pPr>
        <w:ind w:left="4248" w:firstLine="708"/>
        <w:rPr>
          <w:sz w:val="28"/>
          <w:szCs w:val="28"/>
        </w:rPr>
      </w:pPr>
    </w:p>
    <w:p w:rsidR="00FA645B" w:rsidRDefault="00FA645B" w:rsidP="00FA645B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>Директор МБУДО «Пилигрим»</w:t>
      </w:r>
      <w:r>
        <w:rPr>
          <w:color w:val="000000"/>
          <w:sz w:val="28"/>
          <w:szCs w:val="28"/>
        </w:rPr>
        <w:t xml:space="preserve">             </w:t>
      </w:r>
      <w:r w:rsidRPr="00FC2887">
        <w:rPr>
          <w:sz w:val="28"/>
          <w:szCs w:val="28"/>
        </w:rPr>
        <w:t xml:space="preserve">__________________ </w:t>
      </w:r>
      <w:proofErr w:type="spellStart"/>
      <w:r w:rsidRPr="00F00F19">
        <w:rPr>
          <w:color w:val="000000"/>
          <w:sz w:val="28"/>
          <w:szCs w:val="28"/>
        </w:rPr>
        <w:t>В.Б.Платонов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p w:rsidR="00FA645B" w:rsidRDefault="00FA645B" w:rsidP="00FA6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25ADC">
        <w:t>подпись</w:t>
      </w:r>
      <w:r>
        <w:rPr>
          <w:sz w:val="28"/>
          <w:szCs w:val="28"/>
        </w:rPr>
        <w:t xml:space="preserve">    </w:t>
      </w:r>
    </w:p>
    <w:p w:rsidR="00FA645B" w:rsidRPr="00325ADC" w:rsidRDefault="00FA645B" w:rsidP="00FA645B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FA645B" w:rsidRPr="00325ADC" w:rsidRDefault="00FA645B" w:rsidP="00FA645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Pr="00F00F1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601565" w:rsidRPr="00555ACE" w:rsidRDefault="00601565" w:rsidP="00601565">
      <w:pPr>
        <w:jc w:val="right"/>
        <w:rPr>
          <w:sz w:val="28"/>
          <w:szCs w:val="28"/>
        </w:rPr>
      </w:pPr>
    </w:p>
    <w:p w:rsidR="00601565" w:rsidRPr="00555ACE" w:rsidRDefault="00601565" w:rsidP="00601565">
      <w:pPr>
        <w:jc w:val="right"/>
        <w:rPr>
          <w:sz w:val="28"/>
          <w:szCs w:val="28"/>
        </w:rPr>
      </w:pPr>
    </w:p>
    <w:p w:rsidR="00601565" w:rsidRPr="00555ACE" w:rsidRDefault="00601565" w:rsidP="00601565">
      <w:pPr>
        <w:jc w:val="right"/>
        <w:rPr>
          <w:sz w:val="28"/>
          <w:szCs w:val="28"/>
        </w:rPr>
      </w:pPr>
    </w:p>
    <w:p w:rsidR="00601565" w:rsidRDefault="00601565" w:rsidP="0060156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565" w:rsidRPr="00A706F6" w:rsidRDefault="00601565" w:rsidP="00601565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601565" w:rsidRPr="00A706F6" w:rsidRDefault="00601565" w:rsidP="00601565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601565" w:rsidRDefault="00601565" w:rsidP="00601565">
      <w:pPr>
        <w:jc w:val="center"/>
        <w:rPr>
          <w:sz w:val="28"/>
          <w:szCs w:val="28"/>
        </w:rPr>
      </w:pPr>
    </w:p>
    <w:p w:rsidR="00601565" w:rsidRPr="00A6348E" w:rsidRDefault="00601565" w:rsidP="00601565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601565" w:rsidRPr="00CF380B" w:rsidRDefault="00601565" w:rsidP="00601565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01565" w:rsidRPr="0027545E" w:rsidRDefault="00601565" w:rsidP="0060156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01565" w:rsidRPr="0027545E" w:rsidRDefault="00601565" w:rsidP="0060156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01565" w:rsidRPr="0027545E" w:rsidRDefault="00601565" w:rsidP="00601565">
      <w:pPr>
        <w:jc w:val="both"/>
        <w:rPr>
          <w:sz w:val="28"/>
          <w:szCs w:val="28"/>
        </w:rPr>
      </w:pP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01565" w:rsidRPr="0027545E" w:rsidRDefault="00601565" w:rsidP="0060156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01565" w:rsidRPr="0027545E" w:rsidRDefault="00601565" w:rsidP="0060156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01565" w:rsidRPr="0027545E" w:rsidRDefault="00601565" w:rsidP="00601565">
      <w:pPr>
        <w:jc w:val="both"/>
        <w:rPr>
          <w:sz w:val="28"/>
          <w:szCs w:val="28"/>
        </w:rPr>
      </w:pP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01565" w:rsidRPr="0027545E" w:rsidRDefault="00601565" w:rsidP="0060156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01565" w:rsidRPr="0027545E" w:rsidRDefault="00601565" w:rsidP="0060156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01565" w:rsidRPr="0027545E" w:rsidRDefault="00601565" w:rsidP="00601565">
      <w:pPr>
        <w:jc w:val="both"/>
        <w:rPr>
          <w:sz w:val="28"/>
          <w:szCs w:val="28"/>
        </w:rPr>
      </w:pP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01565" w:rsidRPr="00CF380B" w:rsidRDefault="00601565" w:rsidP="00601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01565" w:rsidRPr="0027545E" w:rsidRDefault="00601565" w:rsidP="0060156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01565" w:rsidRPr="0027545E" w:rsidRDefault="00601565" w:rsidP="0060156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60156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54009E" w:rsidRDefault="00FA645B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645B">
        <w:rPr>
          <w:color w:val="000000"/>
          <w:sz w:val="28"/>
          <w:szCs w:val="28"/>
          <w:lang w:eastAsia="en-US"/>
        </w:rPr>
        <w:t>ПК-1: владением теоретическими основами проектирования, готовность к применению основных методов проектирования в туризме</w:t>
      </w:r>
      <w:r w:rsidR="0054009E" w:rsidRPr="0054009E">
        <w:rPr>
          <w:color w:val="000000"/>
          <w:sz w:val="28"/>
          <w:szCs w:val="28"/>
          <w:lang w:eastAsia="en-US"/>
        </w:rPr>
        <w:t>;</w:t>
      </w:r>
    </w:p>
    <w:p w:rsidR="007C5293" w:rsidRPr="0054009E" w:rsidRDefault="00FA645B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645B">
        <w:rPr>
          <w:color w:val="000000"/>
          <w:sz w:val="28"/>
          <w:szCs w:val="28"/>
          <w:lang w:eastAsia="en-US"/>
        </w:rPr>
        <w:t>ПК-10: готовностью к разработке туристского продукта на основе современных технологий</w:t>
      </w:r>
      <w:r w:rsidR="007C5293">
        <w:rPr>
          <w:color w:val="000000"/>
          <w:sz w:val="28"/>
          <w:szCs w:val="28"/>
          <w:lang w:eastAsia="en-US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p w:rsidR="00FA645B" w:rsidRDefault="00FA645B" w:rsidP="00FA64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A645B" w:rsidRPr="00A01497" w:rsidTr="00953302">
        <w:tc>
          <w:tcPr>
            <w:tcW w:w="1567" w:type="dxa"/>
            <w:vMerge w:val="restart"/>
            <w:shd w:val="clear" w:color="auto" w:fill="auto"/>
            <w:vAlign w:val="center"/>
          </w:tcPr>
          <w:p w:rsidR="00FA645B" w:rsidRPr="00A00B62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A645B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645B" w:rsidRPr="00EF7FDA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A877BE">
              <w:rPr>
                <w:sz w:val="24"/>
                <w:szCs w:val="24"/>
              </w:rPr>
              <w:t>-1.8</w:t>
            </w:r>
            <w:r w:rsidRPr="00EF7FDA">
              <w:rPr>
                <w:sz w:val="24"/>
                <w:szCs w:val="24"/>
              </w:rPr>
              <w:t>,</w:t>
            </w:r>
          </w:p>
          <w:p w:rsidR="00A877BE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A877BE"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</w:t>
            </w:r>
            <w:r w:rsidR="00A877BE">
              <w:rPr>
                <w:sz w:val="24"/>
                <w:szCs w:val="24"/>
              </w:rPr>
              <w:t>11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сущность проектирования 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теоретические основы 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основные методы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учитывать актуальность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применять теоретические основы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применять основные методы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основами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навыками применения теоретических основ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645B" w:rsidRPr="00A01497" w:rsidTr="00953302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A645B" w:rsidRPr="005B4A51" w:rsidRDefault="00FA645B" w:rsidP="00953302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основными методами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A645B" w:rsidRPr="00A01497" w:rsidRDefault="00FA645B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 w:val="restart"/>
            <w:shd w:val="clear" w:color="auto" w:fill="auto"/>
            <w:vAlign w:val="center"/>
          </w:tcPr>
          <w:p w:rsidR="00A877BE" w:rsidRPr="00A00B62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877BE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77BE" w:rsidRPr="00A877BE" w:rsidRDefault="00A877BE" w:rsidP="00A8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Pr="00A877BE">
              <w:rPr>
                <w:sz w:val="24"/>
                <w:szCs w:val="24"/>
              </w:rPr>
              <w:t>1.1-1.86,</w:t>
            </w:r>
          </w:p>
          <w:p w:rsidR="00A877BE" w:rsidRPr="00A01497" w:rsidRDefault="00A877BE" w:rsidP="00A8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7BE">
              <w:rPr>
                <w:sz w:val="24"/>
                <w:szCs w:val="24"/>
              </w:rPr>
              <w:t>2.1-2.11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</w:t>
            </w:r>
            <w:r w:rsidRPr="00A01497">
              <w:rPr>
                <w:sz w:val="24"/>
                <w:szCs w:val="24"/>
              </w:rPr>
              <w:lastRenderedPageBreak/>
              <w:t>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современные технологии разработки туристского продукта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этапы проектирования туристского продукта с учетом современных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 xml:space="preserve">комплектацию тура и основы </w:t>
            </w:r>
            <w:r w:rsidRPr="00A877BE">
              <w:rPr>
                <w:color w:val="000000"/>
                <w:sz w:val="24"/>
                <w:szCs w:val="24"/>
              </w:rPr>
              <w:lastRenderedPageBreak/>
              <w:t>организации программ для разных типов туристских продуктов, соответствующих запросам потребителей с учетом современных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877BE" w:rsidRPr="005B4A51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выбирать адекватные технологии разработки туристского продукта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самостоятельно находить и использовать различие источники информации по проекту туристского продукта с учетом современных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 xml:space="preserve">планировать и осуществлять </w:t>
            </w:r>
            <w:proofErr w:type="gramStart"/>
            <w:r w:rsidRPr="00A877BE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77BE">
              <w:rPr>
                <w:color w:val="000000"/>
                <w:sz w:val="24"/>
                <w:szCs w:val="24"/>
              </w:rPr>
              <w:t xml:space="preserve"> реализацией проекта с учетом современных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877BE" w:rsidRPr="005B4A51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77BE" w:rsidRPr="005B4A51" w:rsidRDefault="00A877BE" w:rsidP="00953302">
            <w:pPr>
              <w:rPr>
                <w:sz w:val="22"/>
                <w:szCs w:val="22"/>
              </w:rPr>
            </w:pPr>
            <w:r w:rsidRPr="00A877BE">
              <w:rPr>
                <w:color w:val="000000"/>
                <w:sz w:val="22"/>
                <w:szCs w:val="22"/>
              </w:rPr>
              <w:t>технологиями разработки туристского продукта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способностью самостоятельно находить и использовать различные источники информации по проекту туристского продукта с учетом современных технологий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77BE" w:rsidRPr="00A01497" w:rsidTr="00953302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877BE" w:rsidRPr="00A877BE" w:rsidRDefault="00A877BE" w:rsidP="00953302">
            <w:pPr>
              <w:rPr>
                <w:sz w:val="24"/>
                <w:szCs w:val="24"/>
              </w:rPr>
            </w:pPr>
            <w:r w:rsidRPr="00A877BE">
              <w:rPr>
                <w:color w:val="000000"/>
                <w:sz w:val="24"/>
                <w:szCs w:val="24"/>
              </w:rPr>
              <w:t>навыками создания новых туристских продуктов и услуг с использованием современных технологий и методов проектирования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77BE" w:rsidRPr="00A01497" w:rsidRDefault="00A877BE" w:rsidP="00953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77BE" w:rsidRDefault="00A877BE" w:rsidP="00A877BE">
      <w:pPr>
        <w:rPr>
          <w:sz w:val="24"/>
          <w:szCs w:val="24"/>
        </w:rPr>
      </w:pPr>
    </w:p>
    <w:p w:rsidR="00A877BE" w:rsidRDefault="00A877BE" w:rsidP="00A877BE">
      <w:pPr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CA4B5B">
        <w:rPr>
          <w:rFonts w:ascii="Times New Roman" w:eastAsia="Times New Roman" w:hAnsi="Times New Roman"/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CA4B5B">
        <w:rPr>
          <w:rFonts w:ascii="Times New Roman" w:eastAsia="Times New Roman" w:hAnsi="Times New Roman"/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1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</w:t>
      </w:r>
      <w:r w:rsidR="009C4B9D">
        <w:rPr>
          <w:rFonts w:eastAsia="Calibri"/>
          <w:sz w:val="28"/>
          <w:szCs w:val="28"/>
          <w:lang w:eastAsia="en-US"/>
        </w:rPr>
        <w:t xml:space="preserve">основными </w:t>
      </w:r>
      <w:r w:rsidR="0054009E">
        <w:rPr>
          <w:rFonts w:eastAsia="Calibri"/>
          <w:sz w:val="28"/>
          <w:szCs w:val="28"/>
          <w:lang w:eastAsia="en-US"/>
        </w:rPr>
        <w:t>методиками прогнозирования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6F1BB5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8823DB" w:rsidRPr="0054009E" w:rsidRDefault="008823DB" w:rsidP="0054009E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54009E">
        <w:rPr>
          <w:sz w:val="28"/>
          <w:szCs w:val="28"/>
        </w:rPr>
        <w:t>задач (РЗ)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CA4B5B">
        <w:rPr>
          <w:rFonts w:eastAsia="Calibri"/>
          <w:sz w:val="28"/>
          <w:szCs w:val="28"/>
          <w:lang w:eastAsia="en-US"/>
        </w:rPr>
        <w:t>Организация и технологии прогнозирования в сфере услуг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009E" w:rsidRDefault="005400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FC390E" w:rsidRDefault="00246BFF" w:rsidP="00FC390E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157C12" w:rsidRDefault="00157C12" w:rsidP="00246BFF">
      <w:pPr>
        <w:ind w:firstLine="709"/>
        <w:jc w:val="both"/>
        <w:rPr>
          <w:i/>
          <w:sz w:val="28"/>
          <w:szCs w:val="28"/>
        </w:rPr>
      </w:pP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Природа и сущность прогнозирования в экономике.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Типы, виды и методы прогнозирования спроса и предложения на услуги.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Системный анализ в прогнозировании.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Проектирование систем управления.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Информационная подсистема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Контроль и реализация планов.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Необходимость и сущность использования моделей в оценке перспектив.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Регрессионные модели прогнозов.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Составление моделей прогнозирования на основе динамических рядов.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Многомерные методы статистики в прогнозировании.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в условиях неопределенности.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развития производственной инфраструктуры и промышленная политика.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развития социально-экономической инфраструктуры.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планирование регионального экономического развития.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внешнеэкономических связей.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Государственное прогнозирование и бюджетно-налоговое регулирование.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Национальные счета как инструмент прогнозирования и регулирования темпов, структуры и пропорций экономики.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Система балансовых межотраслевых моделей прогнозов.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Технологическое прогнозирование деловой среды.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Социально-политическое прогнозирование деловой среды.</w:t>
      </w:r>
    </w:p>
    <w:p w:rsidR="00FC79EC" w:rsidRDefault="00FC79EC" w:rsidP="00246BFF">
      <w:pPr>
        <w:ind w:firstLine="709"/>
        <w:jc w:val="both"/>
        <w:rPr>
          <w:i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lastRenderedPageBreak/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432E5D" w:rsidRPr="00432E5D" w:rsidRDefault="00432E5D" w:rsidP="00432E5D">
      <w:pPr>
        <w:suppressAutoHyphens/>
        <w:spacing w:line="235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1</w:t>
      </w:r>
    </w:p>
    <w:p w:rsidR="00432E5D" w:rsidRPr="00432E5D" w:rsidRDefault="00432E5D" w:rsidP="00432E5D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Объем услуг косметического салона</w:t>
      </w:r>
      <w:r w:rsidRPr="00432E5D">
        <w:rPr>
          <w:sz w:val="28"/>
          <w:szCs w:val="28"/>
          <w:lang w:eastAsia="ar-SA"/>
        </w:rPr>
        <w:t xml:space="preserve"> по дням недели характеризуются следующими данными: понедельник – </w:t>
      </w:r>
      <w:r>
        <w:rPr>
          <w:sz w:val="28"/>
          <w:szCs w:val="28"/>
          <w:lang w:eastAsia="ar-SA"/>
        </w:rPr>
        <w:t xml:space="preserve">1110 </w:t>
      </w:r>
      <w:proofErr w:type="gramStart"/>
      <w:r>
        <w:rPr>
          <w:sz w:val="28"/>
          <w:szCs w:val="28"/>
          <w:lang w:eastAsia="ar-SA"/>
        </w:rPr>
        <w:t>р</w:t>
      </w:r>
      <w:proofErr w:type="gramEnd"/>
      <w:r w:rsidRPr="00432E5D">
        <w:rPr>
          <w:sz w:val="28"/>
          <w:szCs w:val="28"/>
          <w:lang w:eastAsia="ar-SA"/>
        </w:rPr>
        <w:t xml:space="preserve">; вторник – </w:t>
      </w:r>
      <w:r>
        <w:rPr>
          <w:sz w:val="28"/>
          <w:szCs w:val="28"/>
          <w:lang w:eastAsia="ar-SA"/>
        </w:rPr>
        <w:t>1160 р</w:t>
      </w:r>
      <w:r w:rsidRPr="00432E5D">
        <w:rPr>
          <w:sz w:val="28"/>
          <w:szCs w:val="28"/>
          <w:lang w:eastAsia="ar-SA"/>
        </w:rPr>
        <w:t xml:space="preserve">; среда – 1125 </w:t>
      </w:r>
      <w:r>
        <w:rPr>
          <w:sz w:val="28"/>
          <w:szCs w:val="28"/>
          <w:lang w:eastAsia="ar-SA"/>
        </w:rPr>
        <w:t>р</w:t>
      </w:r>
      <w:r w:rsidRPr="00432E5D">
        <w:rPr>
          <w:sz w:val="28"/>
          <w:szCs w:val="28"/>
          <w:lang w:eastAsia="ar-SA"/>
        </w:rPr>
        <w:t xml:space="preserve">; четверг – </w:t>
      </w:r>
      <w:r>
        <w:rPr>
          <w:sz w:val="28"/>
          <w:szCs w:val="28"/>
          <w:lang w:eastAsia="ar-SA"/>
        </w:rPr>
        <w:t>1095 р</w:t>
      </w:r>
      <w:r w:rsidRPr="00432E5D">
        <w:rPr>
          <w:sz w:val="28"/>
          <w:szCs w:val="28"/>
          <w:lang w:eastAsia="ar-SA"/>
        </w:rPr>
        <w:t xml:space="preserve">; пятница – </w:t>
      </w:r>
      <w:r>
        <w:rPr>
          <w:sz w:val="28"/>
          <w:szCs w:val="28"/>
          <w:lang w:eastAsia="ar-SA"/>
        </w:rPr>
        <w:t>1140 р</w:t>
      </w:r>
      <w:r w:rsidRPr="00432E5D">
        <w:rPr>
          <w:sz w:val="28"/>
          <w:szCs w:val="28"/>
          <w:lang w:eastAsia="ar-SA"/>
        </w:rPr>
        <w:t xml:space="preserve">; суббота – 1155 </w:t>
      </w:r>
      <w:r>
        <w:rPr>
          <w:sz w:val="28"/>
          <w:szCs w:val="28"/>
          <w:lang w:eastAsia="ar-SA"/>
        </w:rPr>
        <w:t>р</w:t>
      </w:r>
      <w:r w:rsidRPr="00432E5D">
        <w:rPr>
          <w:sz w:val="28"/>
          <w:szCs w:val="28"/>
          <w:lang w:eastAsia="ar-SA"/>
        </w:rPr>
        <w:t xml:space="preserve">; воскресенье – </w:t>
      </w:r>
      <w:r>
        <w:rPr>
          <w:sz w:val="28"/>
          <w:szCs w:val="28"/>
          <w:lang w:eastAsia="ar-SA"/>
        </w:rPr>
        <w:t>1130 р</w:t>
      </w:r>
      <w:r w:rsidRPr="00432E5D">
        <w:rPr>
          <w:sz w:val="28"/>
          <w:szCs w:val="28"/>
          <w:lang w:eastAsia="ar-SA"/>
        </w:rPr>
        <w:t>.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объема продаж по дням недели.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ближайшие два дня,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2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432E5D">
        <w:rPr>
          <w:sz w:val="28"/>
          <w:szCs w:val="28"/>
          <w:lang w:eastAsia="ar-SA"/>
        </w:rPr>
        <w:t>Продажи изделий из хрусталя в магазине «Подарки» в апреле – августе характеризуются следующими значениями: апрель – 745 шт.; май – 760 шт.; июнь – 730 шт.; июль – 750 шт.; август – 740 шт.</w:t>
      </w:r>
      <w:proofErr w:type="gramEnd"/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объема продаж.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ближайшие два месяца,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3</w:t>
      </w:r>
    </w:p>
    <w:p w:rsid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432E5D">
        <w:rPr>
          <w:sz w:val="28"/>
          <w:szCs w:val="28"/>
          <w:lang w:eastAsia="ar-SA"/>
        </w:rPr>
        <w:t>Продажи автомобилей в автосалоне «Лада» по годам характеризуются следующими ве</w:t>
      </w:r>
      <w:r>
        <w:rPr>
          <w:sz w:val="28"/>
          <w:szCs w:val="28"/>
          <w:lang w:eastAsia="ar-SA"/>
        </w:rPr>
        <w:t>личинами  (цифры условные): 2015 г. – 5780 шт.; 2016</w:t>
      </w:r>
      <w:r w:rsidRPr="00432E5D">
        <w:rPr>
          <w:sz w:val="28"/>
          <w:szCs w:val="28"/>
          <w:lang w:eastAsia="ar-SA"/>
        </w:rPr>
        <w:t xml:space="preserve"> г. – 5</w:t>
      </w:r>
      <w:r>
        <w:rPr>
          <w:sz w:val="28"/>
          <w:szCs w:val="28"/>
          <w:lang w:eastAsia="ar-SA"/>
        </w:rPr>
        <w:t>810 шт.; 2017 г. – 5795 шт.; 2018 г. – 5815 шт..</w:t>
      </w:r>
      <w:proofErr w:type="gramEnd"/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lastRenderedPageBreak/>
        <w:t xml:space="preserve">Постройте график изменения объема продаж по годам.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</w:t>
      </w:r>
      <w:r>
        <w:rPr>
          <w:sz w:val="28"/>
          <w:szCs w:val="28"/>
          <w:lang w:eastAsia="ar-SA"/>
        </w:rPr>
        <w:t>огнозные значения продаж на 2019</w:t>
      </w:r>
      <w:r w:rsidRPr="00432E5D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>2020</w:t>
      </w:r>
      <w:r w:rsidRPr="00432E5D">
        <w:rPr>
          <w:sz w:val="28"/>
          <w:szCs w:val="28"/>
          <w:lang w:eastAsia="ar-SA"/>
        </w:rPr>
        <w:t xml:space="preserve"> гг.,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4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Продажи </w:t>
      </w:r>
      <w:r>
        <w:rPr>
          <w:sz w:val="28"/>
          <w:szCs w:val="28"/>
          <w:lang w:eastAsia="ar-SA"/>
        </w:rPr>
        <w:t>экскурсий</w:t>
      </w:r>
      <w:r w:rsidRPr="00432E5D">
        <w:rPr>
          <w:sz w:val="28"/>
          <w:szCs w:val="28"/>
          <w:lang w:eastAsia="ar-SA"/>
        </w:rPr>
        <w:t xml:space="preserve"> по дням недели варьируются следующим образом:</w:t>
      </w:r>
    </w:p>
    <w:tbl>
      <w:tblPr>
        <w:tblStyle w:val="12"/>
        <w:tblW w:w="9072" w:type="dxa"/>
        <w:jc w:val="center"/>
        <w:tblLook w:val="01E0" w:firstRow="1" w:lastRow="1" w:firstColumn="1" w:lastColumn="1" w:noHBand="0" w:noVBand="0"/>
      </w:tblPr>
      <w:tblGrid>
        <w:gridCol w:w="1214"/>
        <w:gridCol w:w="1123"/>
        <w:gridCol w:w="1122"/>
        <w:gridCol w:w="1122"/>
        <w:gridCol w:w="1122"/>
        <w:gridCol w:w="1123"/>
        <w:gridCol w:w="1123"/>
        <w:gridCol w:w="1123"/>
      </w:tblGrid>
      <w:tr w:rsidR="00432E5D" w:rsidRPr="00432E5D" w:rsidTr="007C5293">
        <w:trPr>
          <w:jc w:val="center"/>
        </w:trPr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Дни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3-й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4-й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5-й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6-й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7-й</w:t>
            </w:r>
          </w:p>
        </w:tc>
      </w:tr>
      <w:tr w:rsidR="00432E5D" w:rsidRPr="00432E5D" w:rsidTr="007C5293">
        <w:trPr>
          <w:jc w:val="center"/>
        </w:trPr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Продажи, руб.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2320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2350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2340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2305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2330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2345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2320</w:t>
            </w:r>
          </w:p>
        </w:tc>
      </w:tr>
    </w:tbl>
    <w:p w:rsid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объемов продаж по дням.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следующие два дня, рассчитайте возможную ошибку прогноза, используя метод экстраполяции по среднему уровню ряда динамики.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5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>Продажи бензина на АЗС «Альянс» по месяцам варьируются следующим образом:</w:t>
      </w:r>
    </w:p>
    <w:tbl>
      <w:tblPr>
        <w:tblStyle w:val="12"/>
        <w:tblW w:w="9072" w:type="dxa"/>
        <w:jc w:val="center"/>
        <w:tblLook w:val="01E0" w:firstRow="1" w:lastRow="1" w:firstColumn="1" w:lastColumn="1" w:noHBand="0" w:noVBand="0"/>
      </w:tblPr>
      <w:tblGrid>
        <w:gridCol w:w="1456"/>
        <w:gridCol w:w="1263"/>
        <w:gridCol w:w="1295"/>
        <w:gridCol w:w="1264"/>
        <w:gridCol w:w="1264"/>
        <w:gridCol w:w="1265"/>
        <w:gridCol w:w="1265"/>
      </w:tblGrid>
      <w:tr w:rsidR="00432E5D" w:rsidRPr="00432E5D" w:rsidTr="007C5293">
        <w:trPr>
          <w:jc w:val="center"/>
        </w:trPr>
        <w:tc>
          <w:tcPr>
            <w:tcW w:w="1379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Месяцы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22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Июнь</w:t>
            </w:r>
          </w:p>
        </w:tc>
      </w:tr>
      <w:tr w:rsidR="00432E5D" w:rsidRPr="00432E5D" w:rsidTr="007C5293">
        <w:trPr>
          <w:jc w:val="center"/>
        </w:trPr>
        <w:tc>
          <w:tcPr>
            <w:tcW w:w="1379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 xml:space="preserve">Продажи, </w:t>
            </w:r>
            <w:proofErr w:type="gramStart"/>
            <w:r w:rsidRPr="00432E5D">
              <w:rPr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21 200</w:t>
            </w:r>
          </w:p>
        </w:tc>
        <w:tc>
          <w:tcPr>
            <w:tcW w:w="122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24 505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23 404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27 059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25 309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28 455</w:t>
            </w:r>
          </w:p>
        </w:tc>
      </w:tr>
    </w:tbl>
    <w:p w:rsidR="009C4B9D" w:rsidRDefault="00432E5D" w:rsidP="00680998">
      <w:pPr>
        <w:ind w:firstLine="709"/>
        <w:jc w:val="both"/>
        <w:rPr>
          <w:b/>
          <w:i/>
          <w:sz w:val="28"/>
          <w:szCs w:val="28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объемов продаж по месяцам.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следующие три месяца, используя метод экстраполяции по среднему уровню ряда динамики. Рассчитайте возможную ошибку прогноза.</w:t>
      </w:r>
    </w:p>
    <w:p w:rsidR="00432E5D" w:rsidRDefault="00432E5D" w:rsidP="009C4B9D">
      <w:pPr>
        <w:ind w:firstLine="708"/>
        <w:jc w:val="both"/>
        <w:rPr>
          <w:b/>
          <w:sz w:val="28"/>
          <w:szCs w:val="28"/>
        </w:rPr>
      </w:pPr>
    </w:p>
    <w:p w:rsidR="009C4B9D" w:rsidRPr="001A78F4" w:rsidRDefault="009C4B9D" w:rsidP="009C4B9D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9C4B9D" w:rsidRPr="001A78F4" w:rsidRDefault="009C4B9D" w:rsidP="009C4B9D">
      <w:pPr>
        <w:jc w:val="center"/>
        <w:rPr>
          <w:b/>
          <w:i/>
          <w:sz w:val="28"/>
          <w:szCs w:val="28"/>
        </w:rPr>
      </w:pPr>
    </w:p>
    <w:p w:rsidR="009C4B9D" w:rsidRDefault="009C4B9D" w:rsidP="009C4B9D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(теоретические вопросы)</w:t>
      </w:r>
    </w:p>
    <w:p w:rsidR="00432E5D" w:rsidRPr="001A78F4" w:rsidRDefault="00432E5D" w:rsidP="009C4B9D">
      <w:pPr>
        <w:jc w:val="center"/>
        <w:rPr>
          <w:b/>
          <w:i/>
          <w:sz w:val="28"/>
          <w:szCs w:val="28"/>
        </w:rPr>
      </w:pP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Типы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Классификация прогнозов.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экспертных оценок.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экстраполяции трендов.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регрессионного анализа.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экономико-математического моделирования.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экспертных оценок.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 xml:space="preserve">Методы прогнозирования: метод </w:t>
      </w:r>
      <w:proofErr w:type="spellStart"/>
      <w:r w:rsidRPr="00432E5D">
        <w:rPr>
          <w:sz w:val="28"/>
          <w:szCs w:val="24"/>
        </w:rPr>
        <w:t>Дельфи</w:t>
      </w:r>
      <w:proofErr w:type="spellEnd"/>
      <w:r w:rsidRPr="00432E5D">
        <w:rPr>
          <w:sz w:val="28"/>
          <w:szCs w:val="24"/>
        </w:rPr>
        <w:t>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 «скользящего среднего».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Расчет основных финансово-экономических показателей сервисных предприятий.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Комплексная оценка финансового состояния фирмы.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Сущность, особенности взаимосвязи и основные различия прогноза и </w:t>
      </w:r>
      <w:r w:rsidRPr="00432E5D">
        <w:rPr>
          <w:bCs/>
          <w:color w:val="000000"/>
          <w:sz w:val="28"/>
          <w:szCs w:val="28"/>
        </w:rPr>
        <w:lastRenderedPageBreak/>
        <w:t>плана, их история и назначение. Недостатки отечественной практики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Роль и место прогнозирования и планирования в условиях современной экономики, специфика планирования в России.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Методология и организация прогнозирования сферы услуг.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Возможности использования прогнозирования в Российской Федерации на современном этапе развития сферы услуг.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Сущность и элементы методологии прогнозирования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Принципы и методы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Методы прогнозирования в области услуг сервиса, особенности их применения.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Организация прогнозирования.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Порядок разработки и утверждения прогнозов и планов.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Основы прогнозирования и планирования внешнеэкономической деятельности предприятия.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Прогнозирование спроса и предложения на услуги.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Виды рыночного спроса и его оценка, подходы к изучению рынка.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Спрос на услуги сервиса и его прогнозирование.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Моделирование спроса на услуги в сфере сервиса.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Прогнозирование предложения (продажи/сбыта) услуг и продукции в сфере сервиса.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Сущность и структура бизнес-плана.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Порядок разработки и реализации бизнес-плана.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Планирование закупок материальных ресурсов.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Планирование издержек предприятия: состав затрат, включаемых в плановую себестоимость продукции, работ и услуг; планирование снижения себестоимости продукции, работ и услуг по технико-экономическим факторам.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Планирование финансовых результатов деятельности предприятия.</w:t>
      </w:r>
    </w:p>
    <w:p w:rsidR="009C4B9D" w:rsidRDefault="009C4B9D" w:rsidP="00680998">
      <w:pPr>
        <w:ind w:firstLine="709"/>
        <w:jc w:val="both"/>
        <w:rPr>
          <w:b/>
          <w:i/>
          <w:sz w:val="28"/>
          <w:szCs w:val="28"/>
        </w:rPr>
      </w:pPr>
    </w:p>
    <w:p w:rsidR="009C4B9D" w:rsidRPr="001A78F4" w:rsidRDefault="009C4B9D" w:rsidP="00FC390E">
      <w:pPr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432E5D" w:rsidRDefault="00432E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B13807A" wp14:editId="0634815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</w:t>
      </w:r>
      <w:r w:rsidR="00A877BE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A877BE">
        <w:rPr>
          <w:sz w:val="24"/>
          <w:szCs w:val="24"/>
          <w:u w:val="single"/>
        </w:rPr>
        <w:t>2</w:t>
      </w:r>
      <w:r w:rsidRPr="00EF7FDA">
        <w:rPr>
          <w:sz w:val="24"/>
          <w:szCs w:val="24"/>
          <w:u w:val="single"/>
        </w:rPr>
        <w:t>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CA4B5B">
        <w:rPr>
          <w:sz w:val="24"/>
          <w:szCs w:val="24"/>
          <w:u w:val="single"/>
        </w:rPr>
        <w:t>Организация и технологии прогнозирования в сфере услуг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432E5D" w:rsidRDefault="002509F7" w:rsidP="002509F7">
      <w:pPr>
        <w:ind w:left="360"/>
        <w:jc w:val="both"/>
        <w:rPr>
          <w:sz w:val="24"/>
          <w:szCs w:val="24"/>
        </w:rPr>
      </w:pPr>
      <w:r w:rsidRPr="00432E5D">
        <w:rPr>
          <w:sz w:val="24"/>
          <w:szCs w:val="24"/>
        </w:rPr>
        <w:t>1.</w:t>
      </w:r>
      <w:r w:rsidR="00432E5D" w:rsidRPr="00432E5D">
        <w:rPr>
          <w:sz w:val="24"/>
          <w:szCs w:val="24"/>
        </w:rPr>
        <w:t xml:space="preserve"> Методы прогнозирования: методы регрессионного анализа</w:t>
      </w:r>
    </w:p>
    <w:p w:rsidR="002509F7" w:rsidRPr="00432E5D" w:rsidRDefault="002509F7" w:rsidP="002509F7">
      <w:pPr>
        <w:ind w:left="360"/>
        <w:jc w:val="both"/>
        <w:rPr>
          <w:sz w:val="24"/>
          <w:szCs w:val="24"/>
        </w:rPr>
      </w:pPr>
      <w:r w:rsidRPr="00432E5D">
        <w:rPr>
          <w:sz w:val="24"/>
          <w:szCs w:val="24"/>
        </w:rPr>
        <w:t>2.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bCs/>
          <w:color w:val="000000"/>
          <w:sz w:val="24"/>
          <w:szCs w:val="24"/>
        </w:rPr>
        <w:t>Виды рыночного спроса и его оценка, подходы к изучению рынка</w:t>
      </w:r>
    </w:p>
    <w:p w:rsidR="002509F7" w:rsidRPr="00432E5D" w:rsidRDefault="00CB61BF" w:rsidP="000335CB">
      <w:pPr>
        <w:rPr>
          <w:sz w:val="24"/>
          <w:szCs w:val="24"/>
        </w:rPr>
      </w:pPr>
      <w:r w:rsidRPr="00432E5D">
        <w:rPr>
          <w:sz w:val="24"/>
          <w:szCs w:val="24"/>
        </w:rPr>
        <w:t xml:space="preserve">      3. Практическое задание</w:t>
      </w:r>
      <w:r w:rsidR="000335CB" w:rsidRPr="00432E5D">
        <w:rPr>
          <w:sz w:val="24"/>
          <w:szCs w:val="24"/>
        </w:rPr>
        <w:t>.</w:t>
      </w:r>
      <w:r w:rsidR="002509F7" w:rsidRPr="00432E5D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</w:t>
      </w:r>
      <w:r w:rsidR="00C97BAF">
        <w:rPr>
          <w:sz w:val="24"/>
          <w:szCs w:val="24"/>
          <w:u w:val="single"/>
        </w:rPr>
        <w:t>9.2020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0C7099" w:rsidRDefault="000C7099">
      <w:pPr>
        <w:spacing w:after="200" w:line="276" w:lineRule="auto"/>
        <w:rPr>
          <w:sz w:val="24"/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2ED9E8FF" wp14:editId="78CC3E9F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C97BAF" w:rsidRPr="00C97BAF">
        <w:t xml:space="preserve"> </w:t>
      </w:r>
      <w:proofErr w:type="spellStart"/>
      <w:proofErr w:type="gramStart"/>
      <w:r w:rsidR="00C97BAF">
        <w:rPr>
          <w:sz w:val="24"/>
          <w:szCs w:val="24"/>
          <w:u w:val="single"/>
        </w:rPr>
        <w:t>на</w:t>
      </w:r>
      <w:proofErr w:type="spellEnd"/>
      <w:proofErr w:type="gramEnd"/>
      <w:r w:rsidR="00C97BAF">
        <w:rPr>
          <w:sz w:val="24"/>
          <w:szCs w:val="24"/>
          <w:u w:val="single"/>
        </w:rPr>
        <w:t xml:space="preserve"> _2020_/_2021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CA4B5B">
        <w:rPr>
          <w:sz w:val="24"/>
          <w:szCs w:val="24"/>
          <w:u w:val="single"/>
        </w:rPr>
        <w:t>Организация и технологии прогнозирования в сфере услуг</w:t>
      </w:r>
      <w:r>
        <w:rPr>
          <w:sz w:val="24"/>
          <w:szCs w:val="24"/>
        </w:rPr>
        <w:t>__</w:t>
      </w:r>
    </w:p>
    <w:p w:rsidR="00BC35A6" w:rsidRPr="009C4B9D" w:rsidRDefault="00BC35A6" w:rsidP="00262663">
      <w:pPr>
        <w:ind w:firstLine="851"/>
        <w:rPr>
          <w:sz w:val="24"/>
          <w:szCs w:val="24"/>
        </w:rPr>
      </w:pPr>
    </w:p>
    <w:p w:rsidR="000335CB" w:rsidRPr="00432E5D" w:rsidRDefault="00262663" w:rsidP="000335CB">
      <w:pPr>
        <w:spacing w:line="214" w:lineRule="auto"/>
        <w:rPr>
          <w:sz w:val="24"/>
          <w:szCs w:val="24"/>
        </w:rPr>
      </w:pPr>
      <w:r w:rsidRPr="00432E5D">
        <w:rPr>
          <w:sz w:val="24"/>
          <w:szCs w:val="24"/>
        </w:rPr>
        <w:t>1.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rFonts w:eastAsia="Calibri"/>
          <w:sz w:val="24"/>
          <w:szCs w:val="24"/>
          <w:lang w:eastAsia="en-US"/>
        </w:rPr>
        <w:t>Моделирование спроса на услуги в сфере сервиса</w:t>
      </w:r>
    </w:p>
    <w:p w:rsidR="00262663" w:rsidRPr="00432E5D" w:rsidRDefault="00262663" w:rsidP="000335CB">
      <w:pPr>
        <w:jc w:val="both"/>
        <w:rPr>
          <w:sz w:val="24"/>
          <w:szCs w:val="24"/>
        </w:rPr>
      </w:pPr>
      <w:r w:rsidRPr="00432E5D">
        <w:rPr>
          <w:sz w:val="24"/>
          <w:szCs w:val="24"/>
        </w:rPr>
        <w:t>2.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sz w:val="24"/>
          <w:szCs w:val="24"/>
        </w:rPr>
        <w:t>Методы прогнозирования: методы экспертных оценок</w:t>
      </w:r>
    </w:p>
    <w:p w:rsidR="00262663" w:rsidRPr="00432E5D" w:rsidRDefault="00262663" w:rsidP="00262663">
      <w:pPr>
        <w:rPr>
          <w:sz w:val="24"/>
          <w:szCs w:val="24"/>
        </w:rPr>
      </w:pPr>
      <w:r w:rsidRPr="00432E5D">
        <w:rPr>
          <w:sz w:val="24"/>
          <w:szCs w:val="24"/>
        </w:rPr>
        <w:t xml:space="preserve">3. </w:t>
      </w:r>
      <w:r w:rsidR="00CB61BF" w:rsidRPr="00432E5D">
        <w:rPr>
          <w:sz w:val="24"/>
          <w:szCs w:val="24"/>
        </w:rPr>
        <w:t>Практическое задание</w:t>
      </w:r>
      <w:r w:rsidR="000335CB" w:rsidRPr="00432E5D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</w:t>
      </w:r>
      <w:r w:rsidR="00C97BAF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C7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CA4B5B">
        <w:rPr>
          <w:sz w:val="28"/>
          <w:szCs w:val="28"/>
        </w:rPr>
        <w:t>Организация и технологии прогнозирования в сфере услуг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A4B5B">
        <w:rPr>
          <w:rFonts w:eastAsia="Calibri"/>
          <w:i/>
          <w:sz w:val="28"/>
          <w:szCs w:val="28"/>
          <w:lang w:eastAsia="en-US"/>
        </w:rPr>
        <w:t>Организация и технологии прогнозирования в сфере услуг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32E5D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432E5D" w:rsidRDefault="00C97BAF" w:rsidP="00432E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933" w:type="pct"/>
            <w:shd w:val="clear" w:color="auto" w:fill="auto"/>
          </w:tcPr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сущность проектирования  в туризме</w:t>
            </w:r>
          </w:p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теоретические основы  проектирования в туризме</w:t>
            </w:r>
          </w:p>
          <w:p w:rsidR="00432E5D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основные методы проектирования в туризме</w:t>
            </w:r>
          </w:p>
        </w:tc>
        <w:tc>
          <w:tcPr>
            <w:tcW w:w="311" w:type="pct"/>
            <w:shd w:val="clear" w:color="auto" w:fill="auto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32E5D" w:rsidRPr="000C4717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432E5D" w:rsidRPr="007C2358" w:rsidRDefault="003B481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</w:tc>
        <w:tc>
          <w:tcPr>
            <w:tcW w:w="933" w:type="pct"/>
          </w:tcPr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учитывать актуальность проектирования в туризме</w:t>
            </w:r>
          </w:p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применять теоретические основы проектирования в туризме</w:t>
            </w:r>
          </w:p>
          <w:p w:rsidR="00432E5D" w:rsidRPr="00DA30D1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применять основные методы проектирования в туризме</w:t>
            </w:r>
          </w:p>
        </w:tc>
        <w:tc>
          <w:tcPr>
            <w:tcW w:w="267" w:type="pct"/>
          </w:tcPr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11" w:type="pct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3020E" w:rsidRPr="00FF1CF3" w:rsidRDefault="0053020E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933" w:type="pct"/>
          </w:tcPr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основами проектирования в туризме</w:t>
            </w:r>
          </w:p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навыками применения теоретических основ в туризме</w:t>
            </w:r>
          </w:p>
          <w:p w:rsidR="00432E5D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основными методами проектирования в туризме</w:t>
            </w:r>
          </w:p>
        </w:tc>
        <w:tc>
          <w:tcPr>
            <w:tcW w:w="266" w:type="pct"/>
          </w:tcPr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45" w:type="pct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3020E" w:rsidRPr="00FF1CF3" w:rsidRDefault="0053020E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</w:tr>
      <w:tr w:rsidR="00DA2332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2332" w:rsidRDefault="00DA2332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C97BAF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C97BAF" w:rsidRPr="00C97BAF" w:rsidRDefault="00C97BAF" w:rsidP="00C97BAF">
            <w:pPr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современные технологии разработки туристского продукта</w:t>
            </w:r>
          </w:p>
          <w:p w:rsidR="00C97BAF" w:rsidRPr="00C97BAF" w:rsidRDefault="00C97BAF" w:rsidP="00C97BAF">
            <w:pPr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этапы проектирования туристского продукта с учетом современных технологий</w:t>
            </w:r>
          </w:p>
          <w:p w:rsidR="00DA2332" w:rsidRPr="00432E5D" w:rsidRDefault="00C97BAF" w:rsidP="00C97BAF">
            <w:pPr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комплектацию тура и основы организации программ для разных типов туристских продуктов, соответствующих запросам потребителей с учетом современных технологий</w:t>
            </w:r>
          </w:p>
        </w:tc>
        <w:tc>
          <w:tcPr>
            <w:tcW w:w="311" w:type="pct"/>
            <w:shd w:val="clear" w:color="auto" w:fill="auto"/>
          </w:tcPr>
          <w:p w:rsidR="00DA2332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DA2332" w:rsidRPr="000C4717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DA2332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DA2332" w:rsidRPr="007C2358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</w:tc>
        <w:tc>
          <w:tcPr>
            <w:tcW w:w="933" w:type="pct"/>
          </w:tcPr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выбирать адекватные технологии разработки туристского продукта</w:t>
            </w:r>
          </w:p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самостоятельно находить и использовать различие источники информации по проекту туристского продукта с учетом современных технологий</w:t>
            </w:r>
          </w:p>
          <w:p w:rsidR="00DA2332" w:rsidRPr="00432E5D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 xml:space="preserve">планировать и осуществлять </w:t>
            </w:r>
            <w:proofErr w:type="gramStart"/>
            <w:r w:rsidRPr="00C97BAF">
              <w:rPr>
                <w:sz w:val="24"/>
                <w:szCs w:val="24"/>
              </w:rPr>
              <w:t>контроль за</w:t>
            </w:r>
            <w:proofErr w:type="gramEnd"/>
            <w:r w:rsidRPr="00C97BAF">
              <w:rPr>
                <w:sz w:val="24"/>
                <w:szCs w:val="24"/>
              </w:rPr>
              <w:t xml:space="preserve"> реализацией проекта с учетом современных технологий</w:t>
            </w:r>
          </w:p>
        </w:tc>
        <w:tc>
          <w:tcPr>
            <w:tcW w:w="267" w:type="pct"/>
          </w:tcPr>
          <w:p w:rsidR="00DA2332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DA2332" w:rsidRPr="000C4717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311" w:type="pct"/>
          </w:tcPr>
          <w:p w:rsidR="00DA2332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DA2332" w:rsidRPr="00FF1CF3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933" w:type="pct"/>
          </w:tcPr>
          <w:p w:rsidR="00DA2332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технологиями разработки туристского продукта</w:t>
            </w:r>
          </w:p>
          <w:p w:rsidR="00C97BAF" w:rsidRPr="00C97BAF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способностью самостоятельно находить и использовать различные источники информации по проекту туристского продукта с учетом современных технологий</w:t>
            </w:r>
          </w:p>
          <w:p w:rsidR="00C97BAF" w:rsidRPr="00432E5D" w:rsidRDefault="00C97BAF" w:rsidP="00C97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BAF">
              <w:rPr>
                <w:sz w:val="24"/>
                <w:szCs w:val="24"/>
              </w:rPr>
              <w:t>навыками создания новых туристских продуктов и услуг с использованием современных технологий и методов проектирования</w:t>
            </w:r>
          </w:p>
        </w:tc>
        <w:tc>
          <w:tcPr>
            <w:tcW w:w="266" w:type="pct"/>
          </w:tcPr>
          <w:p w:rsidR="00DA2332" w:rsidRPr="00FF1CF3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A2332" w:rsidRPr="00FF1CF3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45" w:type="pct"/>
          </w:tcPr>
          <w:p w:rsidR="00DA2332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DA2332" w:rsidRPr="00FF1CF3" w:rsidRDefault="00DA2332" w:rsidP="0060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AB" w:rsidRDefault="001046AB" w:rsidP="008A6864">
      <w:r>
        <w:separator/>
      </w:r>
    </w:p>
  </w:endnote>
  <w:endnote w:type="continuationSeparator" w:id="0">
    <w:p w:rsidR="001046AB" w:rsidRDefault="001046A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01565" w:rsidRDefault="0060156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565" w:rsidRDefault="006015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AB" w:rsidRDefault="001046AB" w:rsidP="008A6864">
      <w:r>
        <w:separator/>
      </w:r>
    </w:p>
  </w:footnote>
  <w:footnote w:type="continuationSeparator" w:id="0">
    <w:p w:rsidR="001046AB" w:rsidRDefault="001046AB" w:rsidP="008A6864">
      <w:r>
        <w:continuationSeparator/>
      </w:r>
    </w:p>
  </w:footnote>
  <w:footnote w:id="1">
    <w:p w:rsidR="00601565" w:rsidRDefault="0060156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01565" w:rsidRDefault="0060156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01565" w:rsidRDefault="0060156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601565" w:rsidRPr="00053E6C" w:rsidRDefault="00601565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A44"/>
    <w:multiLevelType w:val="hybridMultilevel"/>
    <w:tmpl w:val="412C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1DE0"/>
    <w:multiLevelType w:val="multilevel"/>
    <w:tmpl w:val="9DE84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8671D"/>
    <w:multiLevelType w:val="hybridMultilevel"/>
    <w:tmpl w:val="230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26F"/>
    <w:multiLevelType w:val="hybridMultilevel"/>
    <w:tmpl w:val="729AE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74C4D"/>
    <w:multiLevelType w:val="multilevel"/>
    <w:tmpl w:val="766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818E3"/>
    <w:multiLevelType w:val="multilevel"/>
    <w:tmpl w:val="018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E2C18"/>
    <w:multiLevelType w:val="multilevel"/>
    <w:tmpl w:val="9DA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4B2E"/>
    <w:multiLevelType w:val="hybridMultilevel"/>
    <w:tmpl w:val="C490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AC5BCB"/>
    <w:multiLevelType w:val="hybridMultilevel"/>
    <w:tmpl w:val="934EAE3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1"/>
  </w:num>
  <w:num w:numId="5">
    <w:abstractNumId w:val="8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18"/>
  </w:num>
  <w:num w:numId="14">
    <w:abstractNumId w:val="21"/>
  </w:num>
  <w:num w:numId="15">
    <w:abstractNumId w:val="4"/>
  </w:num>
  <w:num w:numId="16">
    <w:abstractNumId w:val="1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4"/>
  </w:num>
  <w:num w:numId="21">
    <w:abstractNumId w:val="17"/>
  </w:num>
  <w:num w:numId="22">
    <w:abstractNumId w:val="15"/>
  </w:num>
  <w:num w:numId="23">
    <w:abstractNumId w:val="16"/>
  </w:num>
  <w:num w:numId="24">
    <w:abstractNumId w:val="12"/>
  </w:num>
  <w:num w:numId="25">
    <w:abstractNumId w:val="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7099"/>
    <w:rsid w:val="000D3C91"/>
    <w:rsid w:val="000D5D6D"/>
    <w:rsid w:val="000E4547"/>
    <w:rsid w:val="000E6B27"/>
    <w:rsid w:val="000F1D63"/>
    <w:rsid w:val="001046AB"/>
    <w:rsid w:val="001048AE"/>
    <w:rsid w:val="00104952"/>
    <w:rsid w:val="00106B72"/>
    <w:rsid w:val="001242A6"/>
    <w:rsid w:val="00134EE7"/>
    <w:rsid w:val="00152739"/>
    <w:rsid w:val="00157C12"/>
    <w:rsid w:val="001720F7"/>
    <w:rsid w:val="0017323C"/>
    <w:rsid w:val="00182869"/>
    <w:rsid w:val="0018340C"/>
    <w:rsid w:val="0018680D"/>
    <w:rsid w:val="00187941"/>
    <w:rsid w:val="00187B9B"/>
    <w:rsid w:val="00192724"/>
    <w:rsid w:val="00195587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545A4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65AA2"/>
    <w:rsid w:val="00395916"/>
    <w:rsid w:val="003A3686"/>
    <w:rsid w:val="003A4676"/>
    <w:rsid w:val="003A4B45"/>
    <w:rsid w:val="003B4813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2E5D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546F"/>
    <w:rsid w:val="0050606C"/>
    <w:rsid w:val="0053020E"/>
    <w:rsid w:val="00536A18"/>
    <w:rsid w:val="0054009E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47D5"/>
    <w:rsid w:val="005B62F5"/>
    <w:rsid w:val="005B68DA"/>
    <w:rsid w:val="005C3D15"/>
    <w:rsid w:val="005D6690"/>
    <w:rsid w:val="0060156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931D1"/>
    <w:rsid w:val="006A0A8F"/>
    <w:rsid w:val="006B26E0"/>
    <w:rsid w:val="006C3A3A"/>
    <w:rsid w:val="006D4A98"/>
    <w:rsid w:val="006D6351"/>
    <w:rsid w:val="006E7A5B"/>
    <w:rsid w:val="006F01B3"/>
    <w:rsid w:val="006F1BB5"/>
    <w:rsid w:val="006F2FBC"/>
    <w:rsid w:val="006F40AE"/>
    <w:rsid w:val="007015CB"/>
    <w:rsid w:val="00712253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C5293"/>
    <w:rsid w:val="007D66EE"/>
    <w:rsid w:val="007D677F"/>
    <w:rsid w:val="007F137A"/>
    <w:rsid w:val="007F2971"/>
    <w:rsid w:val="008004D8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32E6"/>
    <w:rsid w:val="008A6864"/>
    <w:rsid w:val="008C0B73"/>
    <w:rsid w:val="008D779F"/>
    <w:rsid w:val="008E0047"/>
    <w:rsid w:val="008E0281"/>
    <w:rsid w:val="008F6BB2"/>
    <w:rsid w:val="009103BE"/>
    <w:rsid w:val="0091244B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15E5"/>
    <w:rsid w:val="009A66F3"/>
    <w:rsid w:val="009B320A"/>
    <w:rsid w:val="009B4F73"/>
    <w:rsid w:val="009C4B9D"/>
    <w:rsid w:val="009D3F4F"/>
    <w:rsid w:val="009E7E5E"/>
    <w:rsid w:val="009F0A82"/>
    <w:rsid w:val="009F446E"/>
    <w:rsid w:val="00A04F40"/>
    <w:rsid w:val="00A05CA3"/>
    <w:rsid w:val="00A06617"/>
    <w:rsid w:val="00A4054D"/>
    <w:rsid w:val="00A50C23"/>
    <w:rsid w:val="00A51B43"/>
    <w:rsid w:val="00A61639"/>
    <w:rsid w:val="00A6348E"/>
    <w:rsid w:val="00A74A15"/>
    <w:rsid w:val="00A766D5"/>
    <w:rsid w:val="00A877BE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E79E6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97BAF"/>
    <w:rsid w:val="00CA23AA"/>
    <w:rsid w:val="00CA4B5B"/>
    <w:rsid w:val="00CB19EE"/>
    <w:rsid w:val="00CB61BF"/>
    <w:rsid w:val="00CC18A2"/>
    <w:rsid w:val="00CD30E6"/>
    <w:rsid w:val="00CE4FB9"/>
    <w:rsid w:val="00D028EC"/>
    <w:rsid w:val="00D02B97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90C5B"/>
    <w:rsid w:val="00D93789"/>
    <w:rsid w:val="00D96446"/>
    <w:rsid w:val="00D97B66"/>
    <w:rsid w:val="00DA2332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162B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860F3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2A9F"/>
    <w:rsid w:val="00F662CF"/>
    <w:rsid w:val="00F75323"/>
    <w:rsid w:val="00F765B1"/>
    <w:rsid w:val="00F9058A"/>
    <w:rsid w:val="00F90A37"/>
    <w:rsid w:val="00F94D7D"/>
    <w:rsid w:val="00FA0C64"/>
    <w:rsid w:val="00FA645B"/>
    <w:rsid w:val="00FC0866"/>
    <w:rsid w:val="00FC10D4"/>
    <w:rsid w:val="00FC24EF"/>
    <w:rsid w:val="00FC390E"/>
    <w:rsid w:val="00FC5DF0"/>
    <w:rsid w:val="00FC7397"/>
    <w:rsid w:val="00FC79EC"/>
    <w:rsid w:val="00FD68E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table" w:customStyle="1" w:styleId="12">
    <w:name w:val="Сетка таблицы1"/>
    <w:basedOn w:val="a1"/>
    <w:next w:val="aa"/>
    <w:rsid w:val="0043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table" w:customStyle="1" w:styleId="12">
    <w:name w:val="Сетка таблицы1"/>
    <w:basedOn w:val="a1"/>
    <w:next w:val="aa"/>
    <w:rsid w:val="0043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135E-226F-46EE-BB62-63045F5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7</cp:revision>
  <cp:lastPrinted>2018-09-21T11:52:00Z</cp:lastPrinted>
  <dcterms:created xsi:type="dcterms:W3CDTF">2020-12-01T15:06:00Z</dcterms:created>
  <dcterms:modified xsi:type="dcterms:W3CDTF">2023-03-28T10:25:00Z</dcterms:modified>
</cp:coreProperties>
</file>